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D269EB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623460" w:rsidRPr="00C36C93">
        <w:rPr>
          <w:bCs/>
          <w:sz w:val="22"/>
          <w:szCs w:val="22"/>
        </w:rPr>
        <w:t>Г</w:t>
      </w:r>
      <w:r w:rsidR="00AC59CD" w:rsidRPr="00C36C93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280793">
        <w:rPr>
          <w:color w:val="000000"/>
          <w:sz w:val="22"/>
          <w:szCs w:val="22"/>
        </w:rPr>
        <w:t xml:space="preserve"> ТМ </w:t>
      </w:r>
      <w:r w:rsidR="00280793" w:rsidRPr="00280793">
        <w:rPr>
          <w:color w:val="000000"/>
          <w:sz w:val="22"/>
          <w:szCs w:val="22"/>
        </w:rPr>
        <w:t>«</w:t>
      </w:r>
      <w:proofErr w:type="spellStart"/>
      <w:r w:rsidR="00280793" w:rsidRPr="00280793">
        <w:rPr>
          <w:sz w:val="22"/>
          <w:szCs w:val="22"/>
        </w:rPr>
        <w:t>Geniled</w:t>
      </w:r>
      <w:proofErr w:type="spellEnd"/>
      <w:r w:rsidR="00280793" w:rsidRPr="00280793">
        <w:rPr>
          <w:color w:val="000000"/>
          <w:sz w:val="22"/>
          <w:szCs w:val="22"/>
        </w:rPr>
        <w:t>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095B15" w:rsidRPr="00095B15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AC59CD" w:rsidRPr="005F34A8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</w:t>
      </w:r>
      <w:r w:rsidR="0034341F" w:rsidRPr="005F34A8">
        <w:rPr>
          <w:color w:val="000000"/>
          <w:sz w:val="22"/>
          <w:szCs w:val="22"/>
        </w:rPr>
        <w:t>на в Спецификации (Приложение №2</w:t>
      </w:r>
      <w:r w:rsidRPr="005F34A8">
        <w:rPr>
          <w:color w:val="000000"/>
          <w:sz w:val="22"/>
          <w:szCs w:val="22"/>
        </w:rPr>
        <w:t xml:space="preserve"> к </w:t>
      </w:r>
      <w:r w:rsidR="00E15589" w:rsidRPr="005F34A8">
        <w:rPr>
          <w:color w:val="000000"/>
          <w:sz w:val="22"/>
          <w:szCs w:val="22"/>
        </w:rPr>
        <w:t>настоящему договору</w:t>
      </w:r>
      <w:r w:rsidR="00A347FC"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B342C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AC59CD" w:rsidRPr="002279D6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="00AC59CD"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="00AC59CD"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="00AC59CD"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="00AC59CD"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="00AC59CD" w:rsidRPr="002279D6">
        <w:rPr>
          <w:sz w:val="22"/>
          <w:szCs w:val="22"/>
        </w:rPr>
        <w:t xml:space="preserve">) календарных дней от даты принятия </w:t>
      </w:r>
      <w:r w:rsidR="00AC59CD" w:rsidRPr="002279D6">
        <w:rPr>
          <w:sz w:val="22"/>
          <w:szCs w:val="22"/>
        </w:rPr>
        <w:lastRenderedPageBreak/>
        <w:t>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 Договору)</w:t>
      </w:r>
      <w:r w:rsidR="00AC59CD"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AB342C" w:rsidRDefault="00AB342C" w:rsidP="00AB342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AB342C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AB342C">
        <w:rPr>
          <w:color w:val="000000"/>
          <w:sz w:val="22"/>
          <w:szCs w:val="22"/>
        </w:rPr>
        <w:t>дств с к</w:t>
      </w:r>
      <w:proofErr w:type="gramEnd"/>
      <w:r w:rsidR="00AC59CD" w:rsidRPr="00AB342C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</w:t>
      </w:r>
      <w:r w:rsidR="00334887" w:rsidRPr="005F34A8">
        <w:rPr>
          <w:color w:val="000000"/>
          <w:sz w:val="22"/>
          <w:szCs w:val="22"/>
        </w:rPr>
        <w:t xml:space="preserve">гарантийный срок </w:t>
      </w:r>
      <w:r w:rsidR="00B31EF0"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="00334887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 w:rsidR="00A347FC">
        <w:rPr>
          <w:color w:val="000000"/>
          <w:sz w:val="22"/>
          <w:szCs w:val="22"/>
        </w:rPr>
        <w:t xml:space="preserve">Если количество Товара, свыше </w:t>
      </w:r>
      <w:r w:rsidR="00152783">
        <w:rPr>
          <w:color w:val="000000"/>
          <w:sz w:val="22"/>
          <w:szCs w:val="22"/>
        </w:rPr>
        <w:t>поставленного ЗИП-комплекта, вы</w:t>
      </w:r>
      <w:r w:rsidR="00A347FC">
        <w:rPr>
          <w:color w:val="000000"/>
          <w:sz w:val="22"/>
          <w:szCs w:val="22"/>
        </w:rPr>
        <w:t>ходит из строя в течение (трех) лет э</w:t>
      </w:r>
      <w:r w:rsidR="004351A8">
        <w:rPr>
          <w:color w:val="000000"/>
          <w:sz w:val="22"/>
          <w:szCs w:val="22"/>
        </w:rPr>
        <w:t>к</w:t>
      </w:r>
      <w:r w:rsidR="00152783">
        <w:rPr>
          <w:color w:val="000000"/>
          <w:sz w:val="22"/>
          <w:szCs w:val="22"/>
        </w:rPr>
        <w:t>с</w:t>
      </w:r>
      <w:r w:rsidR="004351A8">
        <w:rPr>
          <w:color w:val="000000"/>
          <w:sz w:val="22"/>
          <w:szCs w:val="22"/>
        </w:rPr>
        <w:t>плуатации, то на Поставщика То</w:t>
      </w:r>
      <w:r w:rsidR="00A347FC">
        <w:rPr>
          <w:color w:val="000000"/>
          <w:sz w:val="22"/>
          <w:szCs w:val="22"/>
        </w:rPr>
        <w:t xml:space="preserve">вара относятся </w:t>
      </w:r>
      <w:r w:rsidRPr="002279D6">
        <w:rPr>
          <w:color w:val="000000"/>
          <w:sz w:val="22"/>
          <w:szCs w:val="22"/>
        </w:rPr>
        <w:t xml:space="preserve"> </w:t>
      </w:r>
      <w:r w:rsidR="004351A8"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</w:t>
      </w:r>
      <w:r w:rsidR="00A30369">
        <w:rPr>
          <w:color w:val="000000"/>
          <w:sz w:val="22"/>
          <w:szCs w:val="22"/>
        </w:rPr>
        <w:t>я</w:t>
      </w:r>
      <w:r w:rsidR="004351A8">
        <w:rPr>
          <w:color w:val="000000"/>
          <w:sz w:val="22"/>
          <w:szCs w:val="22"/>
        </w:rPr>
        <w:t xml:space="preserve"> отдельный договор</w:t>
      </w:r>
      <w:r w:rsidR="00A30369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</w:t>
      </w:r>
      <w:r w:rsidR="00E72F72">
        <w:rPr>
          <w:color w:val="000000"/>
          <w:sz w:val="22"/>
          <w:szCs w:val="22"/>
        </w:rPr>
        <w:t xml:space="preserve">   </w:t>
      </w:r>
      <w:r w:rsidRPr="002279D6">
        <w:rPr>
          <w:color w:val="000000"/>
          <w:sz w:val="22"/>
          <w:szCs w:val="22"/>
        </w:rPr>
        <w:t>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lastRenderedPageBreak/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2F30C3" w:rsidRDefault="002F30C3" w:rsidP="002F30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FA5D24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Покупатель вправе, уведомив Поставщика, отказаться от принятия Товара, поставка которого </w:t>
      </w:r>
      <w:r w:rsidRPr="002279D6">
        <w:rPr>
          <w:color w:val="000000"/>
          <w:sz w:val="22"/>
          <w:szCs w:val="22"/>
        </w:rPr>
        <w:lastRenderedPageBreak/>
        <w:t>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нарушения Поставщиком условий настоящего Договора, ведущие к существенному снижению </w:t>
      </w:r>
      <w:r w:rsidRPr="002279D6">
        <w:rPr>
          <w:color w:val="000000"/>
          <w:sz w:val="22"/>
          <w:szCs w:val="22"/>
        </w:rPr>
        <w:lastRenderedPageBreak/>
        <w:t>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D269EB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>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lastRenderedPageBreak/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</w:t>
      </w:r>
      <w:r w:rsidR="00623460">
        <w:rPr>
          <w:bCs/>
          <w:sz w:val="22"/>
        </w:rPr>
        <w:t>.</w:t>
      </w:r>
      <w:r w:rsidR="00731F5E" w:rsidRPr="002279D6">
        <w:rPr>
          <w:bCs/>
          <w:sz w:val="22"/>
        </w:rPr>
        <w:t xml:space="preserve">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  <w:r w:rsidR="00623460">
        <w:rPr>
          <w:bCs/>
          <w:sz w:val="22"/>
        </w:rPr>
        <w:t>.</w:t>
      </w:r>
    </w:p>
    <w:p w:rsidR="00AC59CD" w:rsidRPr="00BD3A21" w:rsidRDefault="00B31EF0" w:rsidP="00D60839">
      <w:pPr>
        <w:ind w:firstLine="709"/>
        <w:rPr>
          <w:bCs/>
          <w:color w:val="FF0000"/>
          <w:sz w:val="22"/>
        </w:rPr>
      </w:pPr>
      <w:r w:rsidRPr="00D60839">
        <w:rPr>
          <w:bCs/>
          <w:sz w:val="22"/>
        </w:rPr>
        <w:t>13.</w:t>
      </w:r>
      <w:r w:rsidR="007F5B40" w:rsidRPr="00D60839">
        <w:rPr>
          <w:bCs/>
          <w:sz w:val="22"/>
        </w:rPr>
        <w:t>4</w:t>
      </w:r>
      <w:r w:rsidRPr="00D60839">
        <w:rPr>
          <w:bCs/>
          <w:sz w:val="22"/>
        </w:rPr>
        <w:t>. Приложение №</w:t>
      </w:r>
      <w:r w:rsidR="007F5B40" w:rsidRPr="00D60839">
        <w:rPr>
          <w:bCs/>
          <w:sz w:val="22"/>
        </w:rPr>
        <w:t>4</w:t>
      </w:r>
      <w:r w:rsidR="00AC59CD" w:rsidRPr="00D60839">
        <w:rPr>
          <w:bCs/>
          <w:sz w:val="22"/>
        </w:rPr>
        <w:t xml:space="preserve"> - </w:t>
      </w:r>
      <w:r w:rsidR="00D60839" w:rsidRPr="00D60839">
        <w:rPr>
          <w:bCs/>
          <w:sz w:val="22"/>
        </w:rPr>
        <w:t>Форма по раскрытию информации в отношении всей цепочки собственников,</w:t>
      </w:r>
      <w:r w:rsidR="00D60839">
        <w:rPr>
          <w:bCs/>
          <w:sz w:val="22"/>
        </w:rPr>
        <w:t xml:space="preserve"> </w:t>
      </w:r>
      <w:r w:rsidR="00D60839" w:rsidRPr="00D60839">
        <w:rPr>
          <w:bCs/>
          <w:sz w:val="22"/>
        </w:rPr>
        <w:t>включая бенефициаров (в том числе, конечных)</w:t>
      </w:r>
      <w:r w:rsidR="00623460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4A14FC" w:rsidRDefault="004A14FC" w:rsidP="0078334E">
            <w:pPr>
              <w:rPr>
                <w:rFonts w:eastAsia="Calibri"/>
                <w:sz w:val="22"/>
                <w:szCs w:val="22"/>
              </w:rPr>
            </w:pPr>
            <w:r w:rsidRPr="004A14FC">
              <w:rPr>
                <w:sz w:val="22"/>
                <w:szCs w:val="22"/>
              </w:rPr>
              <w:t>в ф-</w:t>
            </w:r>
            <w:proofErr w:type="spellStart"/>
            <w:r w:rsidRPr="004A14FC">
              <w:rPr>
                <w:sz w:val="22"/>
                <w:szCs w:val="22"/>
              </w:rPr>
              <w:t>ле</w:t>
            </w:r>
            <w:proofErr w:type="spellEnd"/>
            <w:r w:rsidRPr="004A14FC">
              <w:rPr>
                <w:sz w:val="22"/>
                <w:szCs w:val="22"/>
              </w:rPr>
              <w:t xml:space="preserve"> Банка ГПБ (АО) в г. Томске</w:t>
            </w:r>
            <w:r w:rsidR="00AC59CD" w:rsidRPr="004A14FC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E27CF8">
          <w:headerReference w:type="first" r:id="rId8"/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080FC0" w:rsidRPr="00080FC0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AC59C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AB3A9A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AB3A9A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</w:rPr>
            </w:pPr>
            <w:r w:rsidRPr="00925F45">
              <w:rPr>
                <w:bCs/>
              </w:rPr>
              <w:t xml:space="preserve"> Светодиодная лампа </w:t>
            </w:r>
            <w:proofErr w:type="spellStart"/>
            <w:r w:rsidRPr="00925F45">
              <w:rPr>
                <w:bCs/>
              </w:rPr>
              <w:t>Geniled</w:t>
            </w:r>
            <w:proofErr w:type="spellEnd"/>
            <w:r w:rsidRPr="00925F45">
              <w:rPr>
                <w:bCs/>
              </w:rPr>
              <w:t xml:space="preserve"> Е27 А60 7W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92EDA" w:rsidRDefault="000A369F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</w:rPr>
            </w:pPr>
            <w:r w:rsidRPr="00925F45">
              <w:rPr>
                <w:bCs/>
              </w:rPr>
              <w:t xml:space="preserve"> Светодиодная лампа </w:t>
            </w:r>
            <w:proofErr w:type="spellStart"/>
            <w:r w:rsidRPr="00925F45">
              <w:rPr>
                <w:bCs/>
              </w:rPr>
              <w:t>Geniled</w:t>
            </w:r>
            <w:proofErr w:type="spellEnd"/>
            <w:r w:rsidRPr="00925F45">
              <w:rPr>
                <w:bCs/>
              </w:rPr>
              <w:t xml:space="preserve"> Е27 А60 7W 4200K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С37 6W 2700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color w:val="000000"/>
              </w:rPr>
            </w:pPr>
            <w:r w:rsidRPr="00925F45">
              <w:rPr>
                <w:bCs/>
                <w:color w:val="000000"/>
              </w:rPr>
              <w:t xml:space="preserve">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С37 6W 4200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lastRenderedPageBreak/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6W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6W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10W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10W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12W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12W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16W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16W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</w:t>
            </w:r>
            <w:r w:rsidRPr="00925F45">
              <w:rPr>
                <w:bCs/>
                <w:color w:val="000000"/>
              </w:rPr>
              <w:lastRenderedPageBreak/>
              <w:t>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диммируемая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диммируемая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E27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E27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GU10 MR16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GU10 MR16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8W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8W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2700K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2700K </w:t>
            </w:r>
            <w:r w:rsidRPr="00925F45">
              <w:rPr>
                <w:bCs/>
                <w:color w:val="000000"/>
              </w:rPr>
              <w:lastRenderedPageBreak/>
              <w:t xml:space="preserve">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4W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4W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Т8 600мм 10W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1200мм 20W 4000К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1200мм 20W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1500мм 26W 4000K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</w:t>
            </w:r>
            <w:r w:rsidRPr="00925F45">
              <w:rPr>
                <w:bCs/>
                <w:color w:val="000000"/>
              </w:rPr>
              <w:lastRenderedPageBreak/>
              <w:t xml:space="preserve">1500мм 26W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58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30W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59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30W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40W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40W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50W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50W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Офис</w:t>
            </w:r>
            <w:proofErr w:type="gramStart"/>
            <w:r w:rsidRPr="00925F45">
              <w:rPr>
                <w:bCs/>
                <w:color w:val="000000"/>
              </w:rPr>
              <w:t>e</w:t>
            </w:r>
            <w:proofErr w:type="spellEnd"/>
            <w:proofErr w:type="gramEnd"/>
            <w:r w:rsidRPr="00925F45">
              <w:rPr>
                <w:bCs/>
                <w:color w:val="000000"/>
              </w:rPr>
              <w:t xml:space="preserve"> 60W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Офис</w:t>
            </w:r>
            <w:proofErr w:type="gramStart"/>
            <w:r w:rsidRPr="00925F45">
              <w:rPr>
                <w:bCs/>
                <w:color w:val="000000"/>
              </w:rPr>
              <w:t>e</w:t>
            </w:r>
            <w:proofErr w:type="spellEnd"/>
            <w:proofErr w:type="gramEnd"/>
            <w:r w:rsidRPr="00925F45">
              <w:rPr>
                <w:bCs/>
                <w:color w:val="000000"/>
              </w:rPr>
              <w:t xml:space="preserve"> 60W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30W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lastRenderedPageBreak/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30W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68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40W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69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40W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50W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50W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60W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60W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30W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30W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78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ЛПО 1200*180 </w:t>
            </w:r>
            <w:proofErr w:type="spellStart"/>
            <w:r w:rsidRPr="00925F45">
              <w:rPr>
                <w:bCs/>
                <w:color w:val="000000"/>
              </w:rPr>
              <w:lastRenderedPageBreak/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79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ЛПО 1200*180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ЛПО 1200х180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ЛПО 1200х180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ЛПО 1200х180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ЛПО 1200х180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88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75W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89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369F" w:rsidRPr="00925F45" w:rsidRDefault="00FE124F" w:rsidP="000A369F">
            <w:pPr>
              <w:rPr>
                <w:color w:val="000000"/>
              </w:rPr>
            </w:pPr>
            <w:r>
              <w:rPr>
                <w:color w:val="000000"/>
              </w:rPr>
              <w:pict w14:anchorId="32CA58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7" o:spid="_x0000_s1035" type="#_x0000_t75" style="position:absolute;margin-left:-3pt;margin-top:12pt;width:46.5pt;height:0;z-index:251656704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JiUlV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9" o:title=""/>
                </v:shape>
              </w:pict>
            </w:r>
            <w:r>
              <w:rPr>
                <w:color w:val="000000"/>
              </w:rPr>
              <w:pict w14:anchorId="17BE50E0">
                <v:shape id="_x0000_s1036" type="#_x0000_t75" style="position:absolute;margin-left:-3pt;margin-top:12pt;width:46.5pt;height:0;z-index:251657728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LBu5Y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9" o:title=""/>
                </v:shape>
              </w:pict>
            </w:r>
            <w:r w:rsidR="000A369F" w:rsidRPr="00925F45">
              <w:rPr>
                <w:bCs/>
                <w:color w:val="000000"/>
              </w:rPr>
              <w:t xml:space="preserve">Светодиодный светильник </w:t>
            </w:r>
            <w:proofErr w:type="spellStart"/>
            <w:r w:rsidR="000A369F" w:rsidRPr="00925F45">
              <w:rPr>
                <w:bCs/>
                <w:color w:val="000000"/>
              </w:rPr>
              <w:t>Geniled</w:t>
            </w:r>
            <w:proofErr w:type="spellEnd"/>
            <w:r w:rsidR="000A369F" w:rsidRPr="00925F45">
              <w:rPr>
                <w:bCs/>
                <w:color w:val="000000"/>
              </w:rPr>
              <w:t xml:space="preserve">  75W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FE124F" w:rsidP="00BF2B4A">
            <w:pPr>
              <w:jc w:val="center"/>
            </w:pPr>
            <w:r>
              <w:rPr>
                <w:color w:val="000000"/>
              </w:rPr>
              <w:pict w14:anchorId="49101390">
                <v:shape id="AutoShape 3" o:spid="_x0000_s1037" type="#_x0000_t75" style="position:absolute;left:0;text-align:left;margin-left:-164.85pt;margin-top:23.4pt;width:90.75pt;height:90.75pt;z-index:251658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" o:insetmode="auto">
                  <v:imagedata r:id="rId10" o:title=""/>
                </v:shape>
              </w:pict>
            </w:r>
            <w:r w:rsidR="000A369F">
              <w:t>90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90W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90W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369F" w:rsidRPr="00925F45" w:rsidRDefault="000A369F" w:rsidP="000A369F">
            <w:pPr>
              <w:rPr>
                <w:color w:val="000000"/>
              </w:rPr>
            </w:pPr>
            <w:r w:rsidRPr="00925F45">
              <w:rPr>
                <w:bCs/>
                <w:color w:val="000000"/>
              </w:rPr>
              <w:t xml:space="preserve">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mini</w:t>
            </w:r>
            <w:proofErr w:type="spellEnd"/>
            <w:r w:rsidRPr="00925F45">
              <w:rPr>
                <w:bCs/>
                <w:color w:val="000000"/>
              </w:rPr>
              <w:t xml:space="preserve"> 6W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10W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15W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Smart</w:t>
            </w:r>
            <w:proofErr w:type="spellEnd"/>
            <w:r w:rsidRPr="00925F45">
              <w:rPr>
                <w:bCs/>
                <w:color w:val="000000"/>
              </w:rPr>
              <w:t xml:space="preserve"> 10W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Smart</w:t>
            </w:r>
            <w:proofErr w:type="spellEnd"/>
            <w:r w:rsidRPr="00925F45">
              <w:rPr>
                <w:bCs/>
                <w:color w:val="000000"/>
              </w:rPr>
              <w:t xml:space="preserve"> 15W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Сейлинг-10W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98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Сейлинг</w:t>
            </w:r>
            <w:proofErr w:type="spellEnd"/>
            <w:r w:rsidRPr="00925F45">
              <w:rPr>
                <w:bCs/>
                <w:color w:val="000000"/>
              </w:rPr>
              <w:t xml:space="preserve">- 20W 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lastRenderedPageBreak/>
              <w:t>99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Сейлинг-30W 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</w:pPr>
            <w:r>
              <w:t>100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СДП-10W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СДП-20W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СДП-30W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СДП-50W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СДП+  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СДП-150W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СДП+   200W 4700К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40W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0A369F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60W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150W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200W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45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90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120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Акриловый диффузор 60 градусов с </w:t>
            </w:r>
            <w:proofErr w:type="gramStart"/>
            <w:r w:rsidRPr="00925F45">
              <w:rPr>
                <w:bCs/>
                <w:color w:val="000000"/>
              </w:rPr>
              <w:t>матовым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рассеивателем</w:t>
            </w:r>
            <w:proofErr w:type="spellEnd"/>
            <w:r w:rsidRPr="00925F45">
              <w:rPr>
                <w:bCs/>
                <w:color w:val="000000"/>
              </w:rPr>
              <w:t xml:space="preserve">-крышкой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75W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100W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125W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r w:rsidRPr="00925F45">
              <w:rPr>
                <w:bCs/>
                <w:color w:val="000000"/>
              </w:rPr>
              <w:lastRenderedPageBreak/>
              <w:t xml:space="preserve">NOVA 200W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  <w:tr w:rsidR="000A369F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Default="000A369F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925F45" w:rsidRDefault="000A369F" w:rsidP="002C705E">
            <w:pPr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250W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369F" w:rsidRPr="002279D6" w:rsidRDefault="000A369F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Default="000A369F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69F" w:rsidRPr="002279D6" w:rsidRDefault="000A369F" w:rsidP="00BF2B4A">
            <w:pPr>
              <w:jc w:val="center"/>
              <w:rPr>
                <w:color w:val="000000"/>
              </w:rPr>
            </w:pPr>
          </w:p>
        </w:tc>
      </w:tr>
    </w:tbl>
    <w:p w:rsidR="00B46D4F" w:rsidRPr="00BF2B4A" w:rsidRDefault="00B46D4F" w:rsidP="00AC59CD">
      <w:pPr>
        <w:rPr>
          <w:color w:val="000000"/>
          <w:sz w:val="22"/>
          <w:szCs w:val="22"/>
          <w:u w:val="single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5E441F" w:rsidRDefault="005E441F" w:rsidP="0078334E"/>
          <w:p w:rsidR="005E441F" w:rsidRPr="002279D6" w:rsidRDefault="005E441F" w:rsidP="0078334E"/>
          <w:p w:rsidR="00AC59CD" w:rsidRPr="002279D6" w:rsidRDefault="00AC59CD" w:rsidP="0078334E">
            <w:r w:rsidRPr="002279D6">
              <w:t>_____________________  А.В. Кодин</w:t>
            </w:r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E27CF8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E27CF8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24F" w:rsidRDefault="00FE124F" w:rsidP="00BD3A21">
      <w:r>
        <w:separator/>
      </w:r>
    </w:p>
  </w:endnote>
  <w:endnote w:type="continuationSeparator" w:id="0">
    <w:p w:rsidR="00FE124F" w:rsidRDefault="00FE124F" w:rsidP="00BD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24F" w:rsidRDefault="00FE124F" w:rsidP="00BD3A21">
      <w:r>
        <w:separator/>
      </w:r>
    </w:p>
  </w:footnote>
  <w:footnote w:type="continuationSeparator" w:id="0">
    <w:p w:rsidR="00FE124F" w:rsidRDefault="00FE124F" w:rsidP="00BD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9A" w:rsidRDefault="00AB3A9A">
    <w:pPr>
      <w:pStyle w:val="ac"/>
      <w:jc w:val="center"/>
    </w:pPr>
  </w:p>
  <w:p w:rsidR="00AB3A9A" w:rsidRDefault="00AB3A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  <w:num w:numId="2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28D6"/>
    <w:rsid w:val="00004122"/>
    <w:rsid w:val="0000561C"/>
    <w:rsid w:val="00007958"/>
    <w:rsid w:val="000174BD"/>
    <w:rsid w:val="00024273"/>
    <w:rsid w:val="00024F6B"/>
    <w:rsid w:val="00026E06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0FC0"/>
    <w:rsid w:val="0008162B"/>
    <w:rsid w:val="000818BB"/>
    <w:rsid w:val="000843E3"/>
    <w:rsid w:val="00087B20"/>
    <w:rsid w:val="00091BFC"/>
    <w:rsid w:val="0009241C"/>
    <w:rsid w:val="00095B15"/>
    <w:rsid w:val="000A369F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616A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2783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50A7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079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30C3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51A8"/>
    <w:rsid w:val="0043746B"/>
    <w:rsid w:val="0044113C"/>
    <w:rsid w:val="00441765"/>
    <w:rsid w:val="004509E5"/>
    <w:rsid w:val="00450F26"/>
    <w:rsid w:val="004517FA"/>
    <w:rsid w:val="00451A83"/>
    <w:rsid w:val="004529A7"/>
    <w:rsid w:val="00453BBE"/>
    <w:rsid w:val="00457667"/>
    <w:rsid w:val="0046177E"/>
    <w:rsid w:val="00463C0E"/>
    <w:rsid w:val="00470128"/>
    <w:rsid w:val="00472082"/>
    <w:rsid w:val="00473C51"/>
    <w:rsid w:val="004747E0"/>
    <w:rsid w:val="00475456"/>
    <w:rsid w:val="0047552E"/>
    <w:rsid w:val="00476A1C"/>
    <w:rsid w:val="00476E6C"/>
    <w:rsid w:val="00477EAE"/>
    <w:rsid w:val="00477F8B"/>
    <w:rsid w:val="00484003"/>
    <w:rsid w:val="00487E56"/>
    <w:rsid w:val="00491D64"/>
    <w:rsid w:val="00492DC2"/>
    <w:rsid w:val="00494B48"/>
    <w:rsid w:val="004A14FC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6EAF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C6469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3397"/>
    <w:rsid w:val="00623460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2EDD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1C97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47B"/>
    <w:rsid w:val="007A0DC1"/>
    <w:rsid w:val="007A1E3B"/>
    <w:rsid w:val="007A36F6"/>
    <w:rsid w:val="007A67AA"/>
    <w:rsid w:val="007A6A93"/>
    <w:rsid w:val="007A742E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447D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6EF8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0369"/>
    <w:rsid w:val="00A3118C"/>
    <w:rsid w:val="00A337B7"/>
    <w:rsid w:val="00A347FC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1850"/>
    <w:rsid w:val="00AB342C"/>
    <w:rsid w:val="00AB3A96"/>
    <w:rsid w:val="00AB3A9A"/>
    <w:rsid w:val="00AB774A"/>
    <w:rsid w:val="00AC28AB"/>
    <w:rsid w:val="00AC3120"/>
    <w:rsid w:val="00AC37E1"/>
    <w:rsid w:val="00AC59CD"/>
    <w:rsid w:val="00AC5A17"/>
    <w:rsid w:val="00AC7CDA"/>
    <w:rsid w:val="00AE04C4"/>
    <w:rsid w:val="00AE076B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57B62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3A21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36C93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9EB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839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27CF8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2F72"/>
    <w:rsid w:val="00E74CB7"/>
    <w:rsid w:val="00E760FA"/>
    <w:rsid w:val="00E80976"/>
    <w:rsid w:val="00E83313"/>
    <w:rsid w:val="00E90EF5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072"/>
    <w:rsid w:val="00FA25C2"/>
    <w:rsid w:val="00FA290C"/>
    <w:rsid w:val="00FA4AE4"/>
    <w:rsid w:val="00FA4DE0"/>
    <w:rsid w:val="00FA5D24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24F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6530</Words>
  <Characters>37222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14</cp:revision>
  <cp:lastPrinted>2017-02-07T04:49:00Z</cp:lastPrinted>
  <dcterms:created xsi:type="dcterms:W3CDTF">2016-12-26T09:42:00Z</dcterms:created>
  <dcterms:modified xsi:type="dcterms:W3CDTF">2017-02-07T04:49:00Z</dcterms:modified>
</cp:coreProperties>
</file>